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526"/>
      </w:tblGrid>
      <w:tr w:rsidR="00956512" w:rsidRPr="00A5630B" w:rsidTr="007A56CB">
        <w:tc>
          <w:tcPr>
            <w:tcW w:w="2972" w:type="dxa"/>
          </w:tcPr>
          <w:p w:rsidR="00956512" w:rsidRPr="00D1542D" w:rsidRDefault="00956512" w:rsidP="00956512">
            <w:pPr>
              <w:ind w:right="40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D1542D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Tom </w:t>
            </w:r>
            <w:proofErr w:type="spellStart"/>
            <w:r w:rsidRPr="00D1542D">
              <w:rPr>
                <w:rFonts w:ascii="Arial" w:hAnsi="Arial" w:cs="Arial"/>
                <w:b/>
                <w:sz w:val="32"/>
                <w:szCs w:val="32"/>
                <w:lang w:val="en-GB"/>
              </w:rPr>
              <w:t>Schacher</w:t>
            </w:r>
            <w:proofErr w:type="spellEnd"/>
          </w:p>
        </w:tc>
        <w:tc>
          <w:tcPr>
            <w:tcW w:w="6526" w:type="dxa"/>
          </w:tcPr>
          <w:p w:rsidR="001C3E80" w:rsidRPr="00CD537C" w:rsidRDefault="00A5630B" w:rsidP="007A56CB">
            <w:pPr>
              <w:spacing w:before="100"/>
              <w:rPr>
                <w:rFonts w:ascii="Garamond" w:hAnsi="Garamond"/>
                <w:sz w:val="22"/>
                <w:szCs w:val="22"/>
                <w:lang w:val="en-GB"/>
              </w:rPr>
            </w:pP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>Architect</w:t>
            </w:r>
            <w:r w:rsidR="007A56CB"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 EPFL with</w:t>
            </w: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 his own practice</w:t>
            </w:r>
            <w:r w:rsidR="007A56CB" w:rsidRPr="00CD537C">
              <w:rPr>
                <w:rFonts w:ascii="Garamond" w:hAnsi="Garamond"/>
                <w:sz w:val="22"/>
                <w:szCs w:val="22"/>
                <w:lang w:val="en-GB"/>
              </w:rPr>
              <w:t>:</w:t>
            </w: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 </w:t>
            </w:r>
          </w:p>
          <w:p w:rsidR="001C3E80" w:rsidRPr="00CD537C" w:rsidRDefault="00A5630B" w:rsidP="007A56CB">
            <w:pPr>
              <w:spacing w:before="100"/>
              <w:rPr>
                <w:rFonts w:ascii="Garamond" w:hAnsi="Garamond"/>
                <w:sz w:val="22"/>
                <w:szCs w:val="22"/>
                <w:lang w:val="en-GB"/>
              </w:rPr>
            </w:pP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1984 </w:t>
            </w:r>
            <w:r w:rsidR="001C3E80" w:rsidRPr="00CD537C">
              <w:rPr>
                <w:rFonts w:ascii="Garamond" w:hAnsi="Garamond"/>
                <w:sz w:val="22"/>
                <w:szCs w:val="22"/>
                <w:lang w:val="en-GB"/>
              </w:rPr>
              <w:t>-</w:t>
            </w: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 1995 in Ticino (southern Switzerland) </w:t>
            </w:r>
            <w:r w:rsidR="007A56CB" w:rsidRPr="00CD537C">
              <w:rPr>
                <w:rFonts w:ascii="Garamond" w:hAnsi="Garamond"/>
                <w:sz w:val="22"/>
                <w:szCs w:val="22"/>
                <w:lang w:val="en-GB"/>
              </w:rPr>
              <w:t>focused on</w:t>
            </w: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 individual housing and transformation of traditional buildings. </w:t>
            </w:r>
          </w:p>
          <w:p w:rsidR="001C3E80" w:rsidRPr="00CD537C" w:rsidRDefault="00A5630B" w:rsidP="007A56CB">
            <w:pPr>
              <w:spacing w:before="100"/>
              <w:rPr>
                <w:rFonts w:ascii="Garamond" w:hAnsi="Garamond"/>
                <w:sz w:val="22"/>
                <w:szCs w:val="22"/>
                <w:lang w:val="en-GB"/>
              </w:rPr>
            </w:pP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1997 </w:t>
            </w:r>
            <w:r w:rsidR="001C3E80" w:rsidRPr="00CD537C">
              <w:rPr>
                <w:rFonts w:ascii="Garamond" w:hAnsi="Garamond"/>
                <w:sz w:val="22"/>
                <w:szCs w:val="22"/>
                <w:lang w:val="en-GB"/>
              </w:rPr>
              <w:t>-</w:t>
            </w: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 201</w:t>
            </w:r>
            <w:r w:rsidR="007A56CB" w:rsidRPr="00CD537C">
              <w:rPr>
                <w:rFonts w:ascii="Garamond" w:hAnsi="Garamond"/>
                <w:sz w:val="22"/>
                <w:szCs w:val="22"/>
                <w:lang w:val="en-GB"/>
              </w:rPr>
              <w:t>9</w:t>
            </w: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 working internationally</w:t>
            </w:r>
            <w:r w:rsidR="007A56CB" w:rsidRPr="00CD537C">
              <w:rPr>
                <w:rFonts w:ascii="Garamond" w:hAnsi="Garamond"/>
                <w:sz w:val="22"/>
                <w:szCs w:val="22"/>
                <w:lang w:val="en-GB"/>
              </w:rPr>
              <w:t>,</w:t>
            </w: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 </w:t>
            </w:r>
            <w:r w:rsidR="007A56CB"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mainly </w:t>
            </w: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for the Swiss Humanitarian Aid Unit (SHA) of the Swiss Agency for Development and Cooperation SDC as a specialist </w:t>
            </w:r>
            <w:r w:rsidR="007A56CB"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for low-tech earthquake engineering and </w:t>
            </w: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the training of craftspeople in disaster resistant construction </w:t>
            </w:r>
            <w:r w:rsidR="007A56CB"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methods. </w:t>
            </w:r>
          </w:p>
          <w:p w:rsidR="00956512" w:rsidRPr="00CD537C" w:rsidRDefault="007A56CB" w:rsidP="007A56CB">
            <w:pPr>
              <w:spacing w:before="100"/>
              <w:rPr>
                <w:rFonts w:ascii="Garamond" w:hAnsi="Garamond"/>
                <w:sz w:val="22"/>
                <w:szCs w:val="22"/>
                <w:lang w:val="en-GB"/>
              </w:rPr>
            </w:pP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>Since 2020 back in southern Switzerland with own practice specialised in modernizations of traditional individual housing</w:t>
            </w:r>
            <w:r w:rsidR="001C3E80" w:rsidRPr="00CD537C">
              <w:rPr>
                <w:rFonts w:ascii="Garamond" w:hAnsi="Garamond"/>
                <w:sz w:val="22"/>
                <w:szCs w:val="22"/>
                <w:lang w:val="en-GB"/>
              </w:rPr>
              <w:t>.</w:t>
            </w:r>
          </w:p>
        </w:tc>
      </w:tr>
      <w:tr w:rsidR="00CD537C" w:rsidRPr="00A5630B" w:rsidTr="00411019">
        <w:tc>
          <w:tcPr>
            <w:tcW w:w="2972" w:type="dxa"/>
          </w:tcPr>
          <w:p w:rsidR="00CD537C" w:rsidRPr="00D1542D" w:rsidRDefault="00CD537C" w:rsidP="00411019">
            <w:pPr>
              <w:ind w:right="40"/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  <w:tc>
          <w:tcPr>
            <w:tcW w:w="6526" w:type="dxa"/>
          </w:tcPr>
          <w:p w:rsidR="00CD537C" w:rsidRPr="00CD537C" w:rsidRDefault="00CD537C" w:rsidP="00411019">
            <w:pPr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744089" w:rsidRPr="00A5630B" w:rsidTr="00411019">
        <w:tc>
          <w:tcPr>
            <w:tcW w:w="2972" w:type="dxa"/>
          </w:tcPr>
          <w:p w:rsidR="00744089" w:rsidRPr="00D1542D" w:rsidRDefault="00744089" w:rsidP="00411019">
            <w:pPr>
              <w:ind w:right="40"/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  <w:tc>
          <w:tcPr>
            <w:tcW w:w="6526" w:type="dxa"/>
          </w:tcPr>
          <w:p w:rsidR="00744089" w:rsidRPr="00CD537C" w:rsidRDefault="00744089" w:rsidP="00411019">
            <w:pPr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956512" w:rsidRPr="00B74E16" w:rsidTr="007A56CB">
        <w:tc>
          <w:tcPr>
            <w:tcW w:w="2972" w:type="dxa"/>
          </w:tcPr>
          <w:p w:rsidR="00956512" w:rsidRPr="00B74E16" w:rsidRDefault="00956512" w:rsidP="00956512">
            <w:pPr>
              <w:ind w:right="40"/>
              <w:jc w:val="right"/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</w:pPr>
          </w:p>
        </w:tc>
        <w:tc>
          <w:tcPr>
            <w:tcW w:w="6526" w:type="dxa"/>
          </w:tcPr>
          <w:p w:rsidR="00956512" w:rsidRPr="00B74E16" w:rsidRDefault="00A5630B">
            <w:pPr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</w:pPr>
            <w:r w:rsidRPr="00B74E16"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  <w:t>a</w:t>
            </w:r>
            <w:r w:rsidR="00956512" w:rsidRPr="00B74E16"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  <w:t>cademic</w:t>
            </w:r>
          </w:p>
        </w:tc>
      </w:tr>
      <w:tr w:rsidR="00956512" w:rsidRPr="00A5630B" w:rsidTr="007A56CB">
        <w:tc>
          <w:tcPr>
            <w:tcW w:w="2972" w:type="dxa"/>
          </w:tcPr>
          <w:p w:rsidR="00956512" w:rsidRPr="00D1542D" w:rsidRDefault="00956512" w:rsidP="00956512">
            <w:pPr>
              <w:ind w:right="40"/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 w:rsidRPr="00D1542D">
              <w:rPr>
                <w:rFonts w:ascii="Garamond" w:hAnsi="Garamond"/>
                <w:sz w:val="22"/>
                <w:szCs w:val="22"/>
                <w:lang w:val="en-GB"/>
              </w:rPr>
              <w:t>1975 - 1982</w:t>
            </w:r>
          </w:p>
        </w:tc>
        <w:tc>
          <w:tcPr>
            <w:tcW w:w="6526" w:type="dxa"/>
          </w:tcPr>
          <w:p w:rsidR="00956512" w:rsidRPr="00CD537C" w:rsidRDefault="0095651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>MA in architecture at EPFL (Swiss Federal Ins</w:t>
            </w: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>t</w:t>
            </w: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itute of Technology Lausanne), </w:t>
            </w:r>
            <w:r w:rsidR="00A5630B" w:rsidRPr="00CD537C">
              <w:rPr>
                <w:rFonts w:ascii="Garamond" w:hAnsi="Garamond"/>
                <w:sz w:val="22"/>
                <w:szCs w:val="22"/>
                <w:lang w:val="en-GB"/>
              </w:rPr>
              <w:t>Switzerland</w:t>
            </w:r>
          </w:p>
        </w:tc>
      </w:tr>
      <w:tr w:rsidR="00956512" w:rsidRPr="00A5630B" w:rsidTr="007A56CB">
        <w:tc>
          <w:tcPr>
            <w:tcW w:w="2972" w:type="dxa"/>
          </w:tcPr>
          <w:p w:rsidR="00956512" w:rsidRPr="00D1542D" w:rsidRDefault="00956512" w:rsidP="00956512">
            <w:pPr>
              <w:ind w:right="40"/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 w:rsidRPr="00D1542D">
              <w:rPr>
                <w:rFonts w:ascii="Garamond" w:hAnsi="Garamond"/>
                <w:sz w:val="22"/>
                <w:szCs w:val="22"/>
                <w:lang w:val="en-GB"/>
              </w:rPr>
              <w:t>1998 – 1999</w:t>
            </w:r>
          </w:p>
        </w:tc>
        <w:tc>
          <w:tcPr>
            <w:tcW w:w="6526" w:type="dxa"/>
          </w:tcPr>
          <w:p w:rsidR="00956512" w:rsidRPr="00CD537C" w:rsidRDefault="0095651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>MSc in Project Planning and Management at the University of Bradford, UK</w:t>
            </w:r>
          </w:p>
        </w:tc>
      </w:tr>
      <w:tr w:rsidR="00CD537C" w:rsidRPr="00A5630B" w:rsidTr="00B91F1A">
        <w:tc>
          <w:tcPr>
            <w:tcW w:w="2972" w:type="dxa"/>
          </w:tcPr>
          <w:p w:rsidR="00CD537C" w:rsidRPr="00D1542D" w:rsidRDefault="00CD537C" w:rsidP="00B91F1A">
            <w:pPr>
              <w:ind w:right="40"/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  <w:tc>
          <w:tcPr>
            <w:tcW w:w="6526" w:type="dxa"/>
          </w:tcPr>
          <w:p w:rsidR="00CD537C" w:rsidRPr="00CD537C" w:rsidRDefault="00CD537C" w:rsidP="00B91F1A">
            <w:pPr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744089" w:rsidRPr="00A5630B" w:rsidTr="00B91F1A">
        <w:tc>
          <w:tcPr>
            <w:tcW w:w="2972" w:type="dxa"/>
          </w:tcPr>
          <w:p w:rsidR="00744089" w:rsidRPr="00D1542D" w:rsidRDefault="00744089" w:rsidP="00B91F1A">
            <w:pPr>
              <w:ind w:right="40"/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  <w:tc>
          <w:tcPr>
            <w:tcW w:w="6526" w:type="dxa"/>
          </w:tcPr>
          <w:p w:rsidR="00744089" w:rsidRPr="00CD537C" w:rsidRDefault="00744089" w:rsidP="00B91F1A">
            <w:pPr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1C3E80" w:rsidRPr="00B74E16" w:rsidTr="007A56CB">
        <w:tc>
          <w:tcPr>
            <w:tcW w:w="2972" w:type="dxa"/>
          </w:tcPr>
          <w:p w:rsidR="001C3E80" w:rsidRPr="00B74E16" w:rsidRDefault="001C3E80" w:rsidP="00956512">
            <w:pPr>
              <w:ind w:right="40"/>
              <w:jc w:val="right"/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</w:pPr>
          </w:p>
        </w:tc>
        <w:tc>
          <w:tcPr>
            <w:tcW w:w="6526" w:type="dxa"/>
          </w:tcPr>
          <w:p w:rsidR="001C3E80" w:rsidRPr="00B74E16" w:rsidRDefault="004E46C8">
            <w:pPr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  <w:t>long missions</w:t>
            </w:r>
          </w:p>
        </w:tc>
      </w:tr>
      <w:tr w:rsidR="001C3E80" w:rsidRPr="00A5630B" w:rsidTr="007A56CB">
        <w:tc>
          <w:tcPr>
            <w:tcW w:w="2972" w:type="dxa"/>
          </w:tcPr>
          <w:p w:rsidR="001C3E80" w:rsidRPr="00D1542D" w:rsidRDefault="001C3E80" w:rsidP="00956512">
            <w:pPr>
              <w:ind w:right="40"/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 w:rsidRPr="00D1542D">
              <w:rPr>
                <w:rFonts w:ascii="Garamond" w:hAnsi="Garamond"/>
                <w:sz w:val="22"/>
                <w:szCs w:val="22"/>
                <w:lang w:val="en-GB"/>
              </w:rPr>
              <w:t>Ecuador 2016 – 18</w:t>
            </w:r>
          </w:p>
        </w:tc>
        <w:tc>
          <w:tcPr>
            <w:tcW w:w="6526" w:type="dxa"/>
          </w:tcPr>
          <w:p w:rsidR="001C3E80" w:rsidRPr="00CD537C" w:rsidRDefault="001C3E80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D1542D">
              <w:rPr>
                <w:rFonts w:ascii="Garamond" w:hAnsi="Garamond"/>
                <w:sz w:val="22"/>
                <w:szCs w:val="22"/>
                <w:lang w:val="en-GB"/>
              </w:rPr>
              <w:t>Senior technical expert</w:t>
            </w: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 </w:t>
            </w:r>
            <w:r w:rsidR="00E96C8A"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for </w:t>
            </w: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>knowledge transfer and training in earthquake resistant construction methods, targeting workers, students and government institutions</w:t>
            </w:r>
            <w:r w:rsidR="00091635" w:rsidRPr="00CD537C">
              <w:rPr>
                <w:rFonts w:ascii="Garamond" w:hAnsi="Garamond"/>
                <w:sz w:val="22"/>
                <w:szCs w:val="22"/>
                <w:lang w:val="en-GB"/>
              </w:rPr>
              <w:t>, in collaboration with governmental, national and international institutions and local NGOs.</w:t>
            </w:r>
          </w:p>
        </w:tc>
      </w:tr>
      <w:tr w:rsidR="00E96C8A" w:rsidRPr="00A5630B" w:rsidTr="007A56CB">
        <w:tc>
          <w:tcPr>
            <w:tcW w:w="2972" w:type="dxa"/>
          </w:tcPr>
          <w:p w:rsidR="00E96C8A" w:rsidRPr="00D1542D" w:rsidRDefault="00E96C8A" w:rsidP="00956512">
            <w:pPr>
              <w:ind w:right="40"/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 w:rsidRPr="00D1542D">
              <w:rPr>
                <w:rFonts w:ascii="Garamond" w:hAnsi="Garamond"/>
                <w:sz w:val="22"/>
                <w:szCs w:val="22"/>
                <w:lang w:val="en-GB"/>
              </w:rPr>
              <w:t>Haiti 2015 and 2010 - 12</w:t>
            </w:r>
          </w:p>
        </w:tc>
        <w:tc>
          <w:tcPr>
            <w:tcW w:w="6526" w:type="dxa"/>
          </w:tcPr>
          <w:p w:rsidR="00E96C8A" w:rsidRPr="00CD537C" w:rsidRDefault="00E96C8A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D1542D">
              <w:rPr>
                <w:rFonts w:ascii="Garamond" w:hAnsi="Garamond"/>
                <w:sz w:val="22"/>
                <w:szCs w:val="22"/>
                <w:lang w:val="en-GB"/>
              </w:rPr>
              <w:t>Head of training programme</w:t>
            </w: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 in earthquake resistant reconstruction directed at workers, strategic development of SDC's Reconstruction Competence Centre and safe reconstruction information campaigns for the general public</w:t>
            </w:r>
            <w:r w:rsidR="00091635" w:rsidRPr="00CD537C">
              <w:rPr>
                <w:rFonts w:ascii="Garamond" w:hAnsi="Garamond"/>
                <w:sz w:val="22"/>
                <w:szCs w:val="22"/>
                <w:lang w:val="en-GB"/>
              </w:rPr>
              <w:t>, in collaboration with governmental institutions and international NGOs</w:t>
            </w: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>.</w:t>
            </w:r>
          </w:p>
        </w:tc>
      </w:tr>
      <w:tr w:rsidR="00AB2E27" w:rsidRPr="00A5630B" w:rsidTr="007A56CB">
        <w:tc>
          <w:tcPr>
            <w:tcW w:w="2972" w:type="dxa"/>
          </w:tcPr>
          <w:p w:rsidR="00AB2E27" w:rsidRPr="00D1542D" w:rsidRDefault="00AB2E27" w:rsidP="00956512">
            <w:pPr>
              <w:ind w:right="40"/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 w:rsidRPr="00D1542D">
              <w:rPr>
                <w:rFonts w:ascii="Garamond" w:hAnsi="Garamond"/>
                <w:sz w:val="22"/>
                <w:szCs w:val="22"/>
                <w:lang w:val="en-GB"/>
              </w:rPr>
              <w:t>Switzerland 2007 – 09</w:t>
            </w:r>
          </w:p>
        </w:tc>
        <w:tc>
          <w:tcPr>
            <w:tcW w:w="6526" w:type="dxa"/>
          </w:tcPr>
          <w:p w:rsidR="00AB2E27" w:rsidRPr="00CD537C" w:rsidRDefault="00AB2E27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D1542D">
              <w:rPr>
                <w:rFonts w:ascii="Garamond" w:hAnsi="Garamond"/>
                <w:sz w:val="22"/>
                <w:szCs w:val="22"/>
                <w:lang w:val="en-GB"/>
              </w:rPr>
              <w:t>Senior Researcher at</w:t>
            </w: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 the University of Applied Sciences of Southern Switzerland SUPSI: development of a construction manual for traditional timber frames, in collaboration with the University of Engineering and Technology Peshawar, Pakistan.</w:t>
            </w:r>
          </w:p>
        </w:tc>
      </w:tr>
      <w:tr w:rsidR="00E96C8A" w:rsidRPr="00A5630B" w:rsidTr="007A56CB">
        <w:tc>
          <w:tcPr>
            <w:tcW w:w="2972" w:type="dxa"/>
          </w:tcPr>
          <w:p w:rsidR="00E96C8A" w:rsidRPr="00D1542D" w:rsidRDefault="00E96C8A" w:rsidP="00956512">
            <w:pPr>
              <w:ind w:right="40"/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 w:rsidRPr="00D1542D">
              <w:rPr>
                <w:rFonts w:ascii="Garamond" w:hAnsi="Garamond"/>
                <w:sz w:val="22"/>
                <w:szCs w:val="22"/>
                <w:lang w:val="en-GB"/>
              </w:rPr>
              <w:t>Pakistan 2006 – 07</w:t>
            </w:r>
          </w:p>
        </w:tc>
        <w:tc>
          <w:tcPr>
            <w:tcW w:w="6526" w:type="dxa"/>
          </w:tcPr>
          <w:p w:rsidR="00E96C8A" w:rsidRPr="00CD537C" w:rsidRDefault="00E96C8A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D1542D">
              <w:rPr>
                <w:rFonts w:ascii="Garamond" w:hAnsi="Garamond"/>
                <w:sz w:val="22"/>
                <w:szCs w:val="22"/>
                <w:lang w:val="en-GB"/>
              </w:rPr>
              <w:t>Technical advisor and</w:t>
            </w: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 Head of SDC's Housing Reconstruction Training Programme. Promotion of modern and traditional non-engineered earthquake resistant construction methods, in collaboration with </w:t>
            </w:r>
            <w:r w:rsidR="00091635" w:rsidRPr="00CD537C">
              <w:rPr>
                <w:rFonts w:ascii="Garamond" w:hAnsi="Garamond"/>
                <w:sz w:val="22"/>
                <w:szCs w:val="22"/>
                <w:lang w:val="en-GB"/>
              </w:rPr>
              <w:t>g</w:t>
            </w: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>overnment</w:t>
            </w:r>
            <w:r w:rsidR="00091635" w:rsidRPr="00CD537C">
              <w:rPr>
                <w:rFonts w:ascii="Garamond" w:hAnsi="Garamond"/>
                <w:sz w:val="22"/>
                <w:szCs w:val="22"/>
                <w:lang w:val="en-GB"/>
              </w:rPr>
              <w:t>al institutions</w:t>
            </w: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 and UN-Habitat.</w:t>
            </w:r>
          </w:p>
        </w:tc>
      </w:tr>
      <w:tr w:rsidR="00E96C8A" w:rsidRPr="00A5630B" w:rsidTr="007A56CB">
        <w:tc>
          <w:tcPr>
            <w:tcW w:w="2972" w:type="dxa"/>
          </w:tcPr>
          <w:p w:rsidR="00E96C8A" w:rsidRPr="00D1542D" w:rsidRDefault="00E96C8A" w:rsidP="00956512">
            <w:pPr>
              <w:ind w:right="40"/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 w:rsidRPr="00D1542D">
              <w:rPr>
                <w:rFonts w:ascii="Garamond" w:hAnsi="Garamond"/>
                <w:sz w:val="22"/>
                <w:szCs w:val="22"/>
                <w:lang w:val="en-GB"/>
              </w:rPr>
              <w:t>Iran 2004</w:t>
            </w:r>
          </w:p>
        </w:tc>
        <w:tc>
          <w:tcPr>
            <w:tcW w:w="6526" w:type="dxa"/>
          </w:tcPr>
          <w:p w:rsidR="00E96C8A" w:rsidRPr="00CD537C" w:rsidRDefault="00E96C8A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D1542D">
              <w:rPr>
                <w:rFonts w:ascii="Garamond" w:hAnsi="Garamond"/>
                <w:sz w:val="22"/>
                <w:szCs w:val="22"/>
                <w:lang w:val="en-GB"/>
              </w:rPr>
              <w:t xml:space="preserve">Head of </w:t>
            </w:r>
            <w:r w:rsidR="008D16AA" w:rsidRPr="00D1542D">
              <w:rPr>
                <w:rFonts w:ascii="Garamond" w:hAnsi="Garamond"/>
                <w:sz w:val="22"/>
                <w:szCs w:val="22"/>
                <w:lang w:val="en-GB"/>
              </w:rPr>
              <w:t xml:space="preserve">SDC's </w:t>
            </w:r>
            <w:r w:rsidRPr="00D1542D">
              <w:rPr>
                <w:rFonts w:ascii="Garamond" w:hAnsi="Garamond"/>
                <w:sz w:val="22"/>
                <w:szCs w:val="22"/>
                <w:lang w:val="en-GB"/>
              </w:rPr>
              <w:t>field office</w:t>
            </w:r>
            <w:r w:rsidR="00091635" w:rsidRPr="00D1542D">
              <w:rPr>
                <w:rFonts w:ascii="Garamond" w:hAnsi="Garamond"/>
                <w:sz w:val="22"/>
                <w:szCs w:val="22"/>
                <w:lang w:val="en-GB"/>
              </w:rPr>
              <w:t>:</w:t>
            </w:r>
            <w:r w:rsidR="00091635"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 </w:t>
            </w: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development </w:t>
            </w:r>
            <w:r w:rsidR="008D16AA"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of </w:t>
            </w: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>and lobbying for appropriate reconstruction methods</w:t>
            </w:r>
            <w:r w:rsidR="00091635" w:rsidRPr="00CD537C">
              <w:rPr>
                <w:rFonts w:ascii="Garamond" w:hAnsi="Garamond"/>
                <w:sz w:val="22"/>
                <w:szCs w:val="22"/>
                <w:lang w:val="en-GB"/>
              </w:rPr>
              <w:t>.</w:t>
            </w:r>
          </w:p>
        </w:tc>
      </w:tr>
      <w:tr w:rsidR="008D16AA" w:rsidRPr="00A5630B" w:rsidTr="007A56CB">
        <w:tc>
          <w:tcPr>
            <w:tcW w:w="2972" w:type="dxa"/>
          </w:tcPr>
          <w:p w:rsidR="008D16AA" w:rsidRPr="00D1542D" w:rsidRDefault="008D16AA" w:rsidP="00956512">
            <w:pPr>
              <w:ind w:right="40"/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 w:rsidRPr="00D1542D">
              <w:rPr>
                <w:rFonts w:ascii="Garamond" w:hAnsi="Garamond"/>
                <w:sz w:val="22"/>
                <w:szCs w:val="22"/>
                <w:lang w:val="en-GB"/>
              </w:rPr>
              <w:t>Switzerland 2003</w:t>
            </w:r>
          </w:p>
        </w:tc>
        <w:tc>
          <w:tcPr>
            <w:tcW w:w="6526" w:type="dxa"/>
          </w:tcPr>
          <w:p w:rsidR="008D16AA" w:rsidRPr="00CD537C" w:rsidRDefault="008D16AA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D1542D">
              <w:rPr>
                <w:rFonts w:ascii="Garamond" w:hAnsi="Garamond"/>
                <w:sz w:val="22"/>
                <w:szCs w:val="22"/>
                <w:lang w:val="en-GB"/>
              </w:rPr>
              <w:t>Assistant Desk officer</w:t>
            </w: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 at SDC headquarters in Berne, Switzerland: a hardship posting</w:t>
            </w:r>
            <w:r w:rsidR="00437FC5" w:rsidRPr="00CD537C">
              <w:rPr>
                <w:rFonts w:ascii="Garamond" w:hAnsi="Garamond"/>
                <w:sz w:val="22"/>
                <w:szCs w:val="22"/>
                <w:lang w:val="en-GB"/>
              </w:rPr>
              <w:t>…</w:t>
            </w:r>
          </w:p>
        </w:tc>
      </w:tr>
      <w:tr w:rsidR="008D16AA" w:rsidRPr="00A5630B" w:rsidTr="007A56CB">
        <w:tc>
          <w:tcPr>
            <w:tcW w:w="2972" w:type="dxa"/>
          </w:tcPr>
          <w:p w:rsidR="008D16AA" w:rsidRPr="00D1542D" w:rsidRDefault="008D16AA" w:rsidP="00956512">
            <w:pPr>
              <w:ind w:right="40"/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 w:rsidRPr="00D1542D">
              <w:rPr>
                <w:rFonts w:ascii="Garamond" w:hAnsi="Garamond"/>
                <w:sz w:val="22"/>
                <w:szCs w:val="22"/>
                <w:lang w:val="en-GB"/>
              </w:rPr>
              <w:t>Ethiopia 2001 – 02</w:t>
            </w:r>
          </w:p>
        </w:tc>
        <w:tc>
          <w:tcPr>
            <w:tcW w:w="6526" w:type="dxa"/>
          </w:tcPr>
          <w:p w:rsidR="008D16AA" w:rsidRPr="00CD537C" w:rsidRDefault="008D16AA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D1542D">
              <w:rPr>
                <w:rFonts w:ascii="Garamond" w:hAnsi="Garamond"/>
                <w:sz w:val="22"/>
                <w:szCs w:val="22"/>
                <w:lang w:val="en-GB"/>
              </w:rPr>
              <w:t>Head of SDC's field office:</w:t>
            </w: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 Analysis of the Swiss humanitarian aid presence and development of a medium-term intervention strategy.</w:t>
            </w:r>
          </w:p>
        </w:tc>
      </w:tr>
      <w:tr w:rsidR="008D16AA" w:rsidRPr="00A5630B" w:rsidTr="007A56CB">
        <w:tc>
          <w:tcPr>
            <w:tcW w:w="2972" w:type="dxa"/>
          </w:tcPr>
          <w:p w:rsidR="008D16AA" w:rsidRPr="00D1542D" w:rsidRDefault="008D16AA" w:rsidP="00956512">
            <w:pPr>
              <w:ind w:right="40"/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 w:rsidRPr="00D1542D">
              <w:rPr>
                <w:rFonts w:ascii="Garamond" w:hAnsi="Garamond"/>
                <w:sz w:val="22"/>
                <w:szCs w:val="22"/>
                <w:lang w:val="en-GB"/>
              </w:rPr>
              <w:t>Turkey 1999 – 2001</w:t>
            </w:r>
          </w:p>
        </w:tc>
        <w:tc>
          <w:tcPr>
            <w:tcW w:w="6526" w:type="dxa"/>
          </w:tcPr>
          <w:p w:rsidR="008D16AA" w:rsidRPr="00CD537C" w:rsidRDefault="008D16AA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D1542D">
              <w:rPr>
                <w:rFonts w:ascii="Garamond" w:hAnsi="Garamond"/>
                <w:sz w:val="22"/>
                <w:szCs w:val="22"/>
                <w:lang w:val="en-GB"/>
              </w:rPr>
              <w:t>Head of SDC's field office:</w:t>
            </w: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 development of the Neighbourhood Disaster Volunteers project MAG, in collaboration with local authorities and institutions.</w:t>
            </w:r>
          </w:p>
        </w:tc>
      </w:tr>
      <w:tr w:rsidR="00091635" w:rsidRPr="00A5630B" w:rsidTr="007A56CB">
        <w:tc>
          <w:tcPr>
            <w:tcW w:w="2972" w:type="dxa"/>
          </w:tcPr>
          <w:p w:rsidR="00091635" w:rsidRPr="00D1542D" w:rsidRDefault="00091635" w:rsidP="00956512">
            <w:pPr>
              <w:ind w:right="40"/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 w:rsidRPr="00D1542D">
              <w:rPr>
                <w:rFonts w:ascii="Garamond" w:hAnsi="Garamond"/>
                <w:sz w:val="22"/>
                <w:szCs w:val="22"/>
                <w:lang w:val="en-GB"/>
              </w:rPr>
              <w:t>Rwanda 1997 – 98</w:t>
            </w:r>
          </w:p>
        </w:tc>
        <w:tc>
          <w:tcPr>
            <w:tcW w:w="6526" w:type="dxa"/>
          </w:tcPr>
          <w:p w:rsidR="00091635" w:rsidRPr="00CD537C" w:rsidRDefault="00091635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D1542D">
              <w:rPr>
                <w:rFonts w:ascii="Garamond" w:hAnsi="Garamond"/>
                <w:sz w:val="22"/>
                <w:szCs w:val="22"/>
                <w:lang w:val="en-GB"/>
              </w:rPr>
              <w:t>Project Coordinator</w:t>
            </w: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 for UNICEF's primary school construction programme, in collaboration with the Ministry of Education and international NGOs.</w:t>
            </w:r>
          </w:p>
        </w:tc>
      </w:tr>
      <w:tr w:rsidR="00091635" w:rsidRPr="00A5630B" w:rsidTr="007A56CB">
        <w:tc>
          <w:tcPr>
            <w:tcW w:w="2972" w:type="dxa"/>
          </w:tcPr>
          <w:p w:rsidR="00091635" w:rsidRPr="00D1542D" w:rsidRDefault="00091635" w:rsidP="00956512">
            <w:pPr>
              <w:ind w:right="40"/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 w:rsidRPr="00D1542D">
              <w:rPr>
                <w:rFonts w:ascii="Garamond" w:hAnsi="Garamond"/>
                <w:sz w:val="22"/>
                <w:szCs w:val="22"/>
                <w:lang w:val="en-GB"/>
              </w:rPr>
              <w:t>Kenya 1997</w:t>
            </w:r>
          </w:p>
        </w:tc>
        <w:tc>
          <w:tcPr>
            <w:tcW w:w="6526" w:type="dxa"/>
          </w:tcPr>
          <w:p w:rsidR="00091635" w:rsidRPr="00CD537C" w:rsidRDefault="00091635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D1542D">
              <w:rPr>
                <w:rFonts w:ascii="Garamond" w:hAnsi="Garamond"/>
                <w:sz w:val="22"/>
                <w:szCs w:val="22"/>
                <w:lang w:val="en-GB"/>
              </w:rPr>
              <w:t>Logistics Coordinator</w:t>
            </w: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 for WFP - Operation Lifeline Sudan at the </w:t>
            </w:r>
            <w:proofErr w:type="spellStart"/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>Lokichokio</w:t>
            </w:r>
            <w:proofErr w:type="spellEnd"/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 Base Camp, maintain supply pipeline for up to 45 </w:t>
            </w:r>
            <w:proofErr w:type="spellStart"/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>mt</w:t>
            </w:r>
            <w:proofErr w:type="spellEnd"/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 of food and goods per day.</w:t>
            </w:r>
          </w:p>
        </w:tc>
      </w:tr>
      <w:tr w:rsidR="00091635" w:rsidRPr="00A5630B" w:rsidTr="007A56CB">
        <w:tc>
          <w:tcPr>
            <w:tcW w:w="2972" w:type="dxa"/>
          </w:tcPr>
          <w:p w:rsidR="00091635" w:rsidRPr="00D1542D" w:rsidRDefault="00091635" w:rsidP="00956512">
            <w:pPr>
              <w:ind w:right="40"/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 w:rsidRPr="00D1542D">
              <w:rPr>
                <w:rFonts w:ascii="Garamond" w:hAnsi="Garamond"/>
                <w:sz w:val="22"/>
                <w:szCs w:val="22"/>
                <w:lang w:val="en-GB"/>
              </w:rPr>
              <w:t>Morocco 1994, 1992</w:t>
            </w:r>
          </w:p>
          <w:p w:rsidR="00645DCA" w:rsidRPr="00D1542D" w:rsidRDefault="00645DCA" w:rsidP="00956512">
            <w:pPr>
              <w:ind w:right="40"/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 w:rsidRPr="00D1542D">
              <w:rPr>
                <w:rFonts w:ascii="Garamond" w:hAnsi="Garamond"/>
                <w:sz w:val="22"/>
                <w:szCs w:val="22"/>
                <w:lang w:val="en-GB"/>
              </w:rPr>
              <w:t>Senegal 1989 -90</w:t>
            </w:r>
          </w:p>
        </w:tc>
        <w:tc>
          <w:tcPr>
            <w:tcW w:w="6526" w:type="dxa"/>
          </w:tcPr>
          <w:p w:rsidR="00645DCA" w:rsidRPr="00CD537C" w:rsidRDefault="00091635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D1542D">
              <w:rPr>
                <w:rFonts w:ascii="Garamond" w:hAnsi="Garamond"/>
                <w:sz w:val="22"/>
                <w:szCs w:val="22"/>
                <w:lang w:val="en-GB"/>
              </w:rPr>
              <w:t>Project Coordinator</w:t>
            </w: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 and On-site Manager for EPFL's Postgraduate Course on Development, in collaboration with local universities and authorities</w:t>
            </w:r>
          </w:p>
        </w:tc>
      </w:tr>
      <w:tr w:rsidR="00645DCA" w:rsidRPr="00A5630B" w:rsidTr="007A56CB">
        <w:tc>
          <w:tcPr>
            <w:tcW w:w="2972" w:type="dxa"/>
          </w:tcPr>
          <w:p w:rsidR="00645DCA" w:rsidRPr="00D1542D" w:rsidRDefault="00645DCA" w:rsidP="00956512">
            <w:pPr>
              <w:ind w:right="40"/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 w:rsidRPr="00D1542D">
              <w:rPr>
                <w:rFonts w:ascii="Garamond" w:hAnsi="Garamond"/>
                <w:sz w:val="22"/>
                <w:szCs w:val="22"/>
                <w:lang w:val="en-GB"/>
              </w:rPr>
              <w:t>Italy 1988</w:t>
            </w:r>
          </w:p>
        </w:tc>
        <w:tc>
          <w:tcPr>
            <w:tcW w:w="6526" w:type="dxa"/>
          </w:tcPr>
          <w:p w:rsidR="00645DCA" w:rsidRPr="00CD537C" w:rsidRDefault="00645DCA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D1542D">
              <w:rPr>
                <w:rFonts w:ascii="Garamond" w:hAnsi="Garamond"/>
                <w:sz w:val="22"/>
                <w:szCs w:val="22"/>
                <w:lang w:val="en-GB"/>
              </w:rPr>
              <w:t xml:space="preserve">Architect </w:t>
            </w:r>
            <w:r w:rsidR="001C36BA" w:rsidRPr="00CD537C">
              <w:rPr>
                <w:rFonts w:ascii="Garamond" w:hAnsi="Garamond"/>
                <w:sz w:val="22"/>
                <w:szCs w:val="22"/>
                <w:lang w:val="en-GB"/>
              </w:rPr>
              <w:t>in private firm,</w:t>
            </w: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 developing health centres and low-cost housing for 3</w:t>
            </w:r>
            <w:r w:rsidRPr="00CD537C">
              <w:rPr>
                <w:rFonts w:ascii="Garamond" w:hAnsi="Garamond"/>
                <w:sz w:val="22"/>
                <w:szCs w:val="22"/>
                <w:vertAlign w:val="superscript"/>
                <w:lang w:val="en-GB"/>
              </w:rPr>
              <w:t>rd</w:t>
            </w: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 world countries</w:t>
            </w:r>
          </w:p>
        </w:tc>
      </w:tr>
      <w:tr w:rsidR="00645DCA" w:rsidRPr="00A5630B" w:rsidTr="007A56CB">
        <w:tc>
          <w:tcPr>
            <w:tcW w:w="2972" w:type="dxa"/>
          </w:tcPr>
          <w:p w:rsidR="00645DCA" w:rsidRPr="00D1542D" w:rsidRDefault="00645DCA" w:rsidP="00956512">
            <w:pPr>
              <w:ind w:right="40"/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 w:rsidRPr="00D1542D">
              <w:rPr>
                <w:rFonts w:ascii="Garamond" w:hAnsi="Garamond"/>
                <w:sz w:val="22"/>
                <w:szCs w:val="22"/>
                <w:lang w:val="en-GB"/>
              </w:rPr>
              <w:lastRenderedPageBreak/>
              <w:t>Algeria 1979 – 80</w:t>
            </w:r>
          </w:p>
        </w:tc>
        <w:tc>
          <w:tcPr>
            <w:tcW w:w="6526" w:type="dxa"/>
          </w:tcPr>
          <w:p w:rsidR="00645DCA" w:rsidRPr="00CD537C" w:rsidRDefault="00645DCA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D1542D">
              <w:rPr>
                <w:rFonts w:ascii="Garamond" w:hAnsi="Garamond"/>
                <w:sz w:val="22"/>
                <w:szCs w:val="22"/>
                <w:lang w:val="en-GB"/>
              </w:rPr>
              <w:t>Architect stagiaire</w:t>
            </w: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 with the provincial technical office in </w:t>
            </w:r>
            <w:proofErr w:type="spellStart"/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>Béchar</w:t>
            </w:r>
            <w:proofErr w:type="spellEnd"/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>: design of a technical institute for 1000 students</w:t>
            </w:r>
          </w:p>
        </w:tc>
      </w:tr>
      <w:tr w:rsidR="004E46C8" w:rsidRPr="00A5630B" w:rsidTr="007A56CB">
        <w:tc>
          <w:tcPr>
            <w:tcW w:w="2972" w:type="dxa"/>
          </w:tcPr>
          <w:p w:rsidR="004E46C8" w:rsidRPr="00D1542D" w:rsidRDefault="004E46C8" w:rsidP="00956512">
            <w:pPr>
              <w:ind w:right="40"/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  <w:tc>
          <w:tcPr>
            <w:tcW w:w="6526" w:type="dxa"/>
          </w:tcPr>
          <w:p w:rsidR="004E46C8" w:rsidRPr="00CD537C" w:rsidRDefault="004E46C8">
            <w:pPr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4A3403" w:rsidRPr="00A5630B" w:rsidTr="007A56CB">
        <w:tc>
          <w:tcPr>
            <w:tcW w:w="2972" w:type="dxa"/>
          </w:tcPr>
          <w:p w:rsidR="004A3403" w:rsidRPr="00D1542D" w:rsidRDefault="004A3403" w:rsidP="00956512">
            <w:pPr>
              <w:ind w:right="40"/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  <w:tc>
          <w:tcPr>
            <w:tcW w:w="6526" w:type="dxa"/>
          </w:tcPr>
          <w:p w:rsidR="004A3403" w:rsidRPr="00CD537C" w:rsidRDefault="004A3403">
            <w:pPr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4E46C8" w:rsidRPr="00B74E16" w:rsidTr="00355A69">
        <w:tc>
          <w:tcPr>
            <w:tcW w:w="2972" w:type="dxa"/>
          </w:tcPr>
          <w:p w:rsidR="004E46C8" w:rsidRPr="00B74E16" w:rsidRDefault="004E46C8" w:rsidP="00355A69">
            <w:pPr>
              <w:ind w:right="40"/>
              <w:jc w:val="right"/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</w:pPr>
          </w:p>
        </w:tc>
        <w:tc>
          <w:tcPr>
            <w:tcW w:w="6526" w:type="dxa"/>
          </w:tcPr>
          <w:p w:rsidR="004E46C8" w:rsidRPr="00B74E16" w:rsidRDefault="004E46C8" w:rsidP="00355A69">
            <w:pPr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  <w:t>consultancies</w:t>
            </w:r>
          </w:p>
        </w:tc>
      </w:tr>
      <w:tr w:rsidR="004A3403" w:rsidRPr="00A5630B" w:rsidTr="007A56CB">
        <w:tc>
          <w:tcPr>
            <w:tcW w:w="2972" w:type="dxa"/>
          </w:tcPr>
          <w:p w:rsidR="004A3403" w:rsidRPr="00D1542D" w:rsidRDefault="004A3403" w:rsidP="004A3403">
            <w:pPr>
              <w:ind w:right="40"/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 w:rsidRPr="00D1542D">
              <w:rPr>
                <w:rFonts w:ascii="Garamond" w:hAnsi="Garamond"/>
                <w:sz w:val="22"/>
                <w:szCs w:val="22"/>
                <w:lang w:val="en-GB"/>
              </w:rPr>
              <w:t>Swiss Solidarity</w:t>
            </w:r>
          </w:p>
        </w:tc>
        <w:tc>
          <w:tcPr>
            <w:tcW w:w="6526" w:type="dxa"/>
          </w:tcPr>
          <w:p w:rsidR="001C36BA" w:rsidRPr="00CD537C" w:rsidRDefault="004A3403" w:rsidP="00D92D3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>Technical Review Mission</w:t>
            </w:r>
            <w:r w:rsidR="00C94DD8" w:rsidRPr="00CD537C">
              <w:rPr>
                <w:rFonts w:ascii="Garamond" w:hAnsi="Garamond"/>
                <w:sz w:val="22"/>
                <w:szCs w:val="22"/>
                <w:lang w:val="en-GB"/>
              </w:rPr>
              <w:t>s</w:t>
            </w: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 of Swiss Solidarity funded NGO reconstruction projects</w:t>
            </w:r>
            <w:r w:rsidR="001C36BA" w:rsidRPr="00CD537C">
              <w:rPr>
                <w:rFonts w:ascii="Garamond" w:hAnsi="Garamond"/>
                <w:sz w:val="22"/>
                <w:szCs w:val="22"/>
                <w:lang w:val="en-GB"/>
              </w:rPr>
              <w:t>, Nepal 2019</w:t>
            </w:r>
            <w:r w:rsidR="00D92D32"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 and Indonesia 2006, as well as </w:t>
            </w:r>
            <w:r w:rsidR="001C36BA" w:rsidRPr="00CD537C">
              <w:rPr>
                <w:rFonts w:ascii="Garamond" w:hAnsi="Garamond"/>
                <w:sz w:val="22"/>
                <w:szCs w:val="22"/>
                <w:lang w:val="en-GB"/>
              </w:rPr>
              <w:t>Technical Expert with the project analysis team,</w:t>
            </w:r>
            <w:r w:rsidR="001C36BA"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 </w:t>
            </w:r>
            <w:r w:rsidR="001C36BA"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2008 </w:t>
            </w:r>
            <w:r w:rsidR="001C36BA" w:rsidRPr="00CD537C">
              <w:rPr>
                <w:rFonts w:ascii="Garamond" w:hAnsi="Garamond"/>
                <w:sz w:val="22"/>
                <w:szCs w:val="22"/>
                <w:lang w:val="en-GB"/>
              </w:rPr>
              <w:t>–</w:t>
            </w:r>
            <w:r w:rsidR="001C36BA"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 </w:t>
            </w:r>
            <w:r w:rsidR="00D92D32" w:rsidRPr="00CD537C">
              <w:rPr>
                <w:rFonts w:ascii="Garamond" w:hAnsi="Garamond"/>
                <w:sz w:val="22"/>
                <w:szCs w:val="22"/>
                <w:lang w:val="en-GB"/>
              </w:rPr>
              <w:t>20</w:t>
            </w:r>
            <w:r w:rsidR="001C36BA" w:rsidRPr="00CD537C">
              <w:rPr>
                <w:rFonts w:ascii="Garamond" w:hAnsi="Garamond"/>
                <w:sz w:val="22"/>
                <w:szCs w:val="22"/>
                <w:lang w:val="en-GB"/>
              </w:rPr>
              <w:t>10</w:t>
            </w:r>
          </w:p>
        </w:tc>
      </w:tr>
      <w:tr w:rsidR="004A3403" w:rsidRPr="00A5630B" w:rsidTr="007A56CB">
        <w:tc>
          <w:tcPr>
            <w:tcW w:w="2972" w:type="dxa"/>
          </w:tcPr>
          <w:p w:rsidR="004A3403" w:rsidRPr="00D1542D" w:rsidRDefault="004A3403" w:rsidP="00956512">
            <w:pPr>
              <w:ind w:right="40"/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 w:rsidRPr="00D1542D">
              <w:rPr>
                <w:rFonts w:ascii="Garamond" w:hAnsi="Garamond"/>
                <w:sz w:val="22"/>
                <w:szCs w:val="22"/>
                <w:lang w:val="en-GB"/>
              </w:rPr>
              <w:t>SDC</w:t>
            </w:r>
          </w:p>
        </w:tc>
        <w:tc>
          <w:tcPr>
            <w:tcW w:w="6526" w:type="dxa"/>
          </w:tcPr>
          <w:p w:rsidR="004A3403" w:rsidRPr="00CD537C" w:rsidRDefault="004A3403" w:rsidP="00D92D3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Project identification mission </w:t>
            </w:r>
            <w:r w:rsidR="00D92D32"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after </w:t>
            </w: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the </w:t>
            </w:r>
            <w:proofErr w:type="spellStart"/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>Palu</w:t>
            </w:r>
            <w:proofErr w:type="spellEnd"/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 tsunami and quake</w:t>
            </w:r>
            <w:r w:rsidR="00D92D32"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 in </w:t>
            </w:r>
            <w:r w:rsidR="001C36BA"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Indonesia 2019 </w:t>
            </w:r>
            <w:r w:rsidR="00D92D32"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and </w:t>
            </w:r>
            <w:r w:rsidR="001C36BA" w:rsidRPr="00CD537C">
              <w:rPr>
                <w:rFonts w:ascii="Garamond" w:hAnsi="Garamond"/>
                <w:sz w:val="22"/>
                <w:szCs w:val="22"/>
                <w:lang w:val="en-GB"/>
              </w:rPr>
              <w:t>the costal earthquake</w:t>
            </w:r>
            <w:r w:rsidR="00D92D32"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 in</w:t>
            </w:r>
            <w:r w:rsidR="001C36BA"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 Ecuador 2016</w:t>
            </w:r>
            <w:r w:rsidR="00C9158C">
              <w:rPr>
                <w:rFonts w:ascii="Garamond" w:hAnsi="Garamond"/>
                <w:sz w:val="22"/>
                <w:szCs w:val="22"/>
                <w:lang w:val="en-GB"/>
              </w:rPr>
              <w:t xml:space="preserve"> as well as various backstopping </w:t>
            </w:r>
            <w:r w:rsidR="004E46C8">
              <w:rPr>
                <w:rFonts w:ascii="Garamond" w:hAnsi="Garamond"/>
                <w:sz w:val="22"/>
                <w:szCs w:val="22"/>
                <w:lang w:val="en-GB"/>
              </w:rPr>
              <w:t>jobs.</w:t>
            </w:r>
          </w:p>
        </w:tc>
      </w:tr>
      <w:tr w:rsidR="00C94DD8" w:rsidRPr="00A5630B" w:rsidTr="007A56CB">
        <w:tc>
          <w:tcPr>
            <w:tcW w:w="2972" w:type="dxa"/>
          </w:tcPr>
          <w:p w:rsidR="00C94DD8" w:rsidRPr="00D1542D" w:rsidRDefault="00C94DD8" w:rsidP="00956512">
            <w:pPr>
              <w:ind w:right="40"/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 w:rsidRPr="00D1542D">
              <w:rPr>
                <w:rFonts w:ascii="Garamond" w:hAnsi="Garamond"/>
                <w:sz w:val="22"/>
                <w:szCs w:val="22"/>
                <w:lang w:val="en-GB"/>
              </w:rPr>
              <w:t>Caritas Switzerland</w:t>
            </w:r>
          </w:p>
        </w:tc>
        <w:tc>
          <w:tcPr>
            <w:tcW w:w="6526" w:type="dxa"/>
          </w:tcPr>
          <w:p w:rsidR="00C94DD8" w:rsidRPr="00CD537C" w:rsidRDefault="00C94DD8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>Technical Review Mission in Aquila, Italy</w:t>
            </w:r>
          </w:p>
        </w:tc>
      </w:tr>
      <w:tr w:rsidR="00AB2E27" w:rsidRPr="00A5630B" w:rsidTr="007A56CB">
        <w:tc>
          <w:tcPr>
            <w:tcW w:w="2972" w:type="dxa"/>
          </w:tcPr>
          <w:p w:rsidR="00AB2E27" w:rsidRPr="00D1542D" w:rsidRDefault="006F5437" w:rsidP="00956512">
            <w:pPr>
              <w:ind w:right="40"/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 w:rsidRPr="00D1542D">
              <w:rPr>
                <w:rFonts w:ascii="Garamond" w:hAnsi="Garamond"/>
                <w:sz w:val="22"/>
                <w:szCs w:val="22"/>
                <w:lang w:val="en-GB"/>
              </w:rPr>
              <w:t>EERI</w:t>
            </w:r>
          </w:p>
        </w:tc>
        <w:tc>
          <w:tcPr>
            <w:tcW w:w="6526" w:type="dxa"/>
          </w:tcPr>
          <w:p w:rsidR="00AB2E27" w:rsidRPr="00CD537C" w:rsidRDefault="006F5437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>Preparation of the Confined Masonry Construction Manual</w:t>
            </w:r>
            <w:r w:rsidR="001C36BA"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 in 2009 – 10.</w:t>
            </w:r>
          </w:p>
        </w:tc>
      </w:tr>
      <w:tr w:rsidR="001C36BA" w:rsidRPr="00A5630B" w:rsidTr="007A56CB">
        <w:tc>
          <w:tcPr>
            <w:tcW w:w="2972" w:type="dxa"/>
          </w:tcPr>
          <w:p w:rsidR="001C36BA" w:rsidRPr="00D1542D" w:rsidRDefault="001C36BA" w:rsidP="00956512">
            <w:pPr>
              <w:ind w:right="40"/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 w:rsidRPr="00D1542D">
              <w:rPr>
                <w:rFonts w:ascii="Garamond" w:hAnsi="Garamond"/>
                <w:sz w:val="22"/>
                <w:szCs w:val="22"/>
                <w:lang w:val="en-GB"/>
              </w:rPr>
              <w:t>World Bank</w:t>
            </w:r>
          </w:p>
        </w:tc>
        <w:tc>
          <w:tcPr>
            <w:tcW w:w="6526" w:type="dxa"/>
          </w:tcPr>
          <w:p w:rsidR="001C36BA" w:rsidRPr="00CD537C" w:rsidRDefault="001C36BA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Assessment of </w:t>
            </w:r>
            <w:r w:rsidR="00C94DD8"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and support for </w:t>
            </w: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>technical aspects of the Poverty Reduction Programme in Laos, 2008</w:t>
            </w:r>
          </w:p>
        </w:tc>
      </w:tr>
      <w:tr w:rsidR="00CD537C" w:rsidRPr="00A5630B" w:rsidTr="007A56CB">
        <w:tc>
          <w:tcPr>
            <w:tcW w:w="2972" w:type="dxa"/>
          </w:tcPr>
          <w:p w:rsidR="00CD537C" w:rsidRPr="00D1542D" w:rsidRDefault="00CD537C" w:rsidP="00956512">
            <w:pPr>
              <w:ind w:right="40"/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  <w:tc>
          <w:tcPr>
            <w:tcW w:w="6526" w:type="dxa"/>
          </w:tcPr>
          <w:p w:rsidR="00CD537C" w:rsidRPr="00CD537C" w:rsidRDefault="00CD537C">
            <w:pPr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D92D32" w:rsidRPr="00A5630B" w:rsidTr="007A56CB">
        <w:tc>
          <w:tcPr>
            <w:tcW w:w="2972" w:type="dxa"/>
          </w:tcPr>
          <w:p w:rsidR="00D92D32" w:rsidRPr="00D1542D" w:rsidRDefault="00D92D32" w:rsidP="00956512">
            <w:pPr>
              <w:ind w:right="40"/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  <w:tc>
          <w:tcPr>
            <w:tcW w:w="6526" w:type="dxa"/>
          </w:tcPr>
          <w:p w:rsidR="00D92D32" w:rsidRPr="00CD537C" w:rsidRDefault="00D92D32">
            <w:pPr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D76021" w:rsidRPr="00B74E16" w:rsidTr="00355A69">
        <w:tc>
          <w:tcPr>
            <w:tcW w:w="2972" w:type="dxa"/>
          </w:tcPr>
          <w:p w:rsidR="00D76021" w:rsidRPr="00B74E16" w:rsidRDefault="00D76021" w:rsidP="00355A69">
            <w:pPr>
              <w:ind w:right="40"/>
              <w:jc w:val="right"/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</w:pPr>
          </w:p>
        </w:tc>
        <w:tc>
          <w:tcPr>
            <w:tcW w:w="6526" w:type="dxa"/>
          </w:tcPr>
          <w:p w:rsidR="00D76021" w:rsidRPr="00B74E16" w:rsidRDefault="00D76021" w:rsidP="00355A69">
            <w:pPr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</w:pPr>
            <w:r w:rsidRPr="00B74E16"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  <w:t>memberships</w:t>
            </w:r>
          </w:p>
        </w:tc>
      </w:tr>
      <w:tr w:rsidR="00D76021" w:rsidRPr="00A5630B" w:rsidTr="00355A69">
        <w:tc>
          <w:tcPr>
            <w:tcW w:w="2972" w:type="dxa"/>
          </w:tcPr>
          <w:p w:rsidR="00D76021" w:rsidRPr="00D1542D" w:rsidRDefault="00D76021" w:rsidP="00355A69">
            <w:pPr>
              <w:ind w:right="40"/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 w:rsidRPr="00D1542D">
              <w:rPr>
                <w:rFonts w:ascii="Garamond" w:hAnsi="Garamond"/>
                <w:sz w:val="22"/>
                <w:szCs w:val="22"/>
                <w:lang w:val="en-GB"/>
              </w:rPr>
              <w:t>SHA</w:t>
            </w:r>
          </w:p>
        </w:tc>
        <w:tc>
          <w:tcPr>
            <w:tcW w:w="6526" w:type="dxa"/>
          </w:tcPr>
          <w:p w:rsidR="00D76021" w:rsidRPr="00CD537C" w:rsidRDefault="00D76021" w:rsidP="00355A69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>Swiss Humanitarian Aid Unit, part of the Swiss Agency for Development and Cooperation</w:t>
            </w:r>
          </w:p>
        </w:tc>
      </w:tr>
      <w:tr w:rsidR="00D76021" w:rsidRPr="00A5630B" w:rsidTr="00355A69">
        <w:tc>
          <w:tcPr>
            <w:tcW w:w="2972" w:type="dxa"/>
          </w:tcPr>
          <w:p w:rsidR="00D76021" w:rsidRPr="00D1542D" w:rsidRDefault="00D76021" w:rsidP="00355A69">
            <w:pPr>
              <w:ind w:right="40"/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 w:rsidRPr="00D1542D">
              <w:rPr>
                <w:rFonts w:ascii="Garamond" w:hAnsi="Garamond"/>
                <w:sz w:val="22"/>
                <w:szCs w:val="22"/>
                <w:lang w:val="en-GB"/>
              </w:rPr>
              <w:t>EERI</w:t>
            </w:r>
          </w:p>
        </w:tc>
        <w:tc>
          <w:tcPr>
            <w:tcW w:w="6526" w:type="dxa"/>
          </w:tcPr>
          <w:p w:rsidR="00D76021" w:rsidRPr="00CD537C" w:rsidRDefault="00D76021" w:rsidP="00355A69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>Earthquake Engineering Research Institute</w:t>
            </w:r>
          </w:p>
        </w:tc>
      </w:tr>
      <w:tr w:rsidR="00D76021" w:rsidRPr="00A5630B" w:rsidTr="00355A69">
        <w:tc>
          <w:tcPr>
            <w:tcW w:w="2972" w:type="dxa"/>
          </w:tcPr>
          <w:p w:rsidR="00D76021" w:rsidRPr="00D1542D" w:rsidRDefault="00D76021" w:rsidP="00355A69">
            <w:pPr>
              <w:ind w:right="40"/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 w:rsidRPr="00D1542D">
              <w:rPr>
                <w:rFonts w:ascii="Garamond" w:hAnsi="Garamond"/>
                <w:sz w:val="22"/>
                <w:szCs w:val="22"/>
                <w:lang w:val="en-GB"/>
              </w:rPr>
              <w:t>SGEB</w:t>
            </w:r>
          </w:p>
        </w:tc>
        <w:tc>
          <w:tcPr>
            <w:tcW w:w="6526" w:type="dxa"/>
          </w:tcPr>
          <w:p w:rsidR="00D76021" w:rsidRPr="00CD537C" w:rsidRDefault="00D76021" w:rsidP="00355A69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>Swiss Society of Earthquake Engineering and Structural Dynamics</w:t>
            </w:r>
          </w:p>
        </w:tc>
      </w:tr>
      <w:tr w:rsidR="004E46C8" w:rsidRPr="00A5630B" w:rsidTr="00355A69">
        <w:tc>
          <w:tcPr>
            <w:tcW w:w="2972" w:type="dxa"/>
          </w:tcPr>
          <w:p w:rsidR="004E46C8" w:rsidRPr="00D1542D" w:rsidRDefault="004E46C8" w:rsidP="00355A69">
            <w:pPr>
              <w:ind w:right="40"/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  <w:tc>
          <w:tcPr>
            <w:tcW w:w="6526" w:type="dxa"/>
          </w:tcPr>
          <w:p w:rsidR="004E46C8" w:rsidRPr="00CD537C" w:rsidRDefault="004E46C8" w:rsidP="00355A69">
            <w:pPr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4E46C8" w:rsidRPr="00A5630B" w:rsidTr="00355A69">
        <w:tc>
          <w:tcPr>
            <w:tcW w:w="2972" w:type="dxa"/>
          </w:tcPr>
          <w:p w:rsidR="004E46C8" w:rsidRPr="00D1542D" w:rsidRDefault="004E46C8" w:rsidP="00355A69">
            <w:pPr>
              <w:ind w:right="40"/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  <w:tc>
          <w:tcPr>
            <w:tcW w:w="6526" w:type="dxa"/>
          </w:tcPr>
          <w:p w:rsidR="004E46C8" w:rsidRPr="00CD537C" w:rsidRDefault="004E46C8" w:rsidP="00355A69">
            <w:pPr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4E46C8" w:rsidRPr="00B74E16" w:rsidTr="00355A69">
        <w:tc>
          <w:tcPr>
            <w:tcW w:w="2972" w:type="dxa"/>
          </w:tcPr>
          <w:p w:rsidR="004E46C8" w:rsidRPr="00B74E16" w:rsidRDefault="004E46C8" w:rsidP="00355A69">
            <w:pPr>
              <w:ind w:right="40"/>
              <w:jc w:val="right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526" w:type="dxa"/>
          </w:tcPr>
          <w:p w:rsidR="004E46C8" w:rsidRPr="00B74E16" w:rsidRDefault="004E46C8" w:rsidP="00355A69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B74E16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personal</w:t>
            </w:r>
          </w:p>
        </w:tc>
      </w:tr>
      <w:tr w:rsidR="004E46C8" w:rsidRPr="00A5630B" w:rsidTr="00355A69">
        <w:tc>
          <w:tcPr>
            <w:tcW w:w="2972" w:type="dxa"/>
          </w:tcPr>
          <w:p w:rsidR="004E46C8" w:rsidRPr="00D1542D" w:rsidRDefault="004E46C8" w:rsidP="00355A69">
            <w:pPr>
              <w:ind w:right="40"/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>born</w:t>
            </w:r>
          </w:p>
        </w:tc>
        <w:tc>
          <w:tcPr>
            <w:tcW w:w="6526" w:type="dxa"/>
          </w:tcPr>
          <w:p w:rsidR="004E46C8" w:rsidRPr="00CD537C" w:rsidRDefault="004E46C8" w:rsidP="00355A69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>1956</w:t>
            </w: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Garamond" w:hAnsi="Garamond"/>
                <w:sz w:val="22"/>
                <w:szCs w:val="22"/>
                <w:lang w:val="en-GB"/>
              </w:rPr>
              <w:t xml:space="preserve">in the meantime </w:t>
            </w: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>married</w:t>
            </w:r>
          </w:p>
        </w:tc>
      </w:tr>
      <w:tr w:rsidR="004E46C8" w:rsidRPr="00A5630B" w:rsidTr="00355A69">
        <w:tc>
          <w:tcPr>
            <w:tcW w:w="2972" w:type="dxa"/>
          </w:tcPr>
          <w:p w:rsidR="004E46C8" w:rsidRPr="00D1542D" w:rsidRDefault="004E46C8" w:rsidP="00355A69">
            <w:pPr>
              <w:ind w:right="40"/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 w:rsidRPr="00D1542D">
              <w:rPr>
                <w:rFonts w:ascii="Garamond" w:hAnsi="Garamond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6526" w:type="dxa"/>
          </w:tcPr>
          <w:p w:rsidR="004E46C8" w:rsidRPr="00CD537C" w:rsidRDefault="004E46C8" w:rsidP="00355A69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>+41 (0)79 776 12 18</w:t>
            </w:r>
          </w:p>
        </w:tc>
      </w:tr>
      <w:tr w:rsidR="004E46C8" w:rsidRPr="00A5630B" w:rsidTr="00355A69">
        <w:tc>
          <w:tcPr>
            <w:tcW w:w="2972" w:type="dxa"/>
          </w:tcPr>
          <w:p w:rsidR="004E46C8" w:rsidRPr="00D1542D" w:rsidRDefault="004E46C8" w:rsidP="00355A69">
            <w:pPr>
              <w:ind w:right="40"/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>e</w:t>
            </w:r>
            <w:r w:rsidRPr="00D1542D">
              <w:rPr>
                <w:rFonts w:ascii="Garamond" w:hAnsi="Garamond"/>
                <w:sz w:val="22"/>
                <w:szCs w:val="22"/>
                <w:lang w:val="en-GB"/>
              </w:rPr>
              <w:t>mail</w:t>
            </w:r>
          </w:p>
        </w:tc>
        <w:tc>
          <w:tcPr>
            <w:tcW w:w="6526" w:type="dxa"/>
          </w:tcPr>
          <w:p w:rsidR="004E46C8" w:rsidRPr="00CD537C" w:rsidRDefault="004E46C8" w:rsidP="00355A69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>tom.schacher@adhoc.ch</w:t>
            </w:r>
          </w:p>
        </w:tc>
      </w:tr>
      <w:tr w:rsidR="004E46C8" w:rsidRPr="00A5630B" w:rsidTr="00355A69">
        <w:tc>
          <w:tcPr>
            <w:tcW w:w="2972" w:type="dxa"/>
          </w:tcPr>
          <w:p w:rsidR="004E46C8" w:rsidRPr="00D1542D" w:rsidRDefault="004E46C8" w:rsidP="00355A69">
            <w:pPr>
              <w:ind w:right="40"/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>w</w:t>
            </w:r>
            <w:r w:rsidRPr="00D1542D">
              <w:rPr>
                <w:rFonts w:ascii="Garamond" w:hAnsi="Garamond"/>
                <w:sz w:val="22"/>
                <w:szCs w:val="22"/>
                <w:lang w:val="en-GB"/>
              </w:rPr>
              <w:t>eb</w:t>
            </w:r>
          </w:p>
        </w:tc>
        <w:tc>
          <w:tcPr>
            <w:tcW w:w="6526" w:type="dxa"/>
          </w:tcPr>
          <w:p w:rsidR="004E46C8" w:rsidRPr="00CD537C" w:rsidRDefault="004E46C8" w:rsidP="00355A69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>www.seismico.org</w:t>
            </w:r>
          </w:p>
        </w:tc>
      </w:tr>
      <w:tr w:rsidR="004E46C8" w:rsidRPr="00A5630B" w:rsidTr="00355A69">
        <w:tc>
          <w:tcPr>
            <w:tcW w:w="2972" w:type="dxa"/>
          </w:tcPr>
          <w:p w:rsidR="004E46C8" w:rsidRPr="00D1542D" w:rsidRDefault="004E46C8" w:rsidP="00355A69">
            <w:pPr>
              <w:ind w:right="40"/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>languages</w:t>
            </w:r>
          </w:p>
        </w:tc>
        <w:tc>
          <w:tcPr>
            <w:tcW w:w="6526" w:type="dxa"/>
          </w:tcPr>
          <w:p w:rsidR="004E46C8" w:rsidRPr="004E46C8" w:rsidRDefault="004E46C8" w:rsidP="00355A69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>English, French, Italian, German, Spanish</w:t>
            </w:r>
          </w:p>
        </w:tc>
      </w:tr>
      <w:tr w:rsidR="004E46C8" w:rsidRPr="00A5630B" w:rsidTr="00355A69">
        <w:tc>
          <w:tcPr>
            <w:tcW w:w="2972" w:type="dxa"/>
          </w:tcPr>
          <w:p w:rsidR="004E46C8" w:rsidRPr="00D1542D" w:rsidRDefault="004E46C8" w:rsidP="00355A69">
            <w:pPr>
              <w:ind w:right="40"/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>c</w:t>
            </w:r>
            <w:r w:rsidRPr="00D1542D">
              <w:rPr>
                <w:rFonts w:ascii="Garamond" w:hAnsi="Garamond"/>
                <w:sz w:val="22"/>
                <w:szCs w:val="22"/>
                <w:lang w:val="en-GB"/>
              </w:rPr>
              <w:t>omputer literacy</w:t>
            </w:r>
          </w:p>
        </w:tc>
        <w:tc>
          <w:tcPr>
            <w:tcW w:w="6526" w:type="dxa"/>
          </w:tcPr>
          <w:p w:rsidR="004E46C8" w:rsidRPr="00CD537C" w:rsidRDefault="004E46C8" w:rsidP="00355A69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>Office apps, InDesign, ArchiCAD, effective use of Internet</w:t>
            </w:r>
          </w:p>
        </w:tc>
      </w:tr>
      <w:tr w:rsidR="004E46C8" w:rsidRPr="00A5630B" w:rsidTr="00355A69">
        <w:tc>
          <w:tcPr>
            <w:tcW w:w="2972" w:type="dxa"/>
          </w:tcPr>
          <w:p w:rsidR="004E46C8" w:rsidRPr="00D1542D" w:rsidRDefault="004E46C8" w:rsidP="00355A69">
            <w:pPr>
              <w:ind w:right="40"/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6526" w:type="dxa"/>
          </w:tcPr>
          <w:p w:rsidR="004E46C8" w:rsidRPr="004E46C8" w:rsidRDefault="004E46C8" w:rsidP="00355A69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 xml:space="preserve">Very manual: </w:t>
            </w: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>Construction, mechanics, artistic</w:t>
            </w:r>
            <w:r>
              <w:rPr>
                <w:rFonts w:ascii="Garamond" w:hAnsi="Garamond"/>
                <w:sz w:val="22"/>
                <w:szCs w:val="22"/>
                <w:lang w:val="en-GB"/>
              </w:rPr>
              <w:t xml:space="preserve"> and cooking</w:t>
            </w:r>
          </w:p>
        </w:tc>
      </w:tr>
      <w:tr w:rsidR="004E46C8" w:rsidRPr="00A5630B" w:rsidTr="00355A69">
        <w:tc>
          <w:tcPr>
            <w:tcW w:w="2972" w:type="dxa"/>
          </w:tcPr>
          <w:p w:rsidR="004E46C8" w:rsidRPr="00D1542D" w:rsidRDefault="004E46C8" w:rsidP="00355A69">
            <w:pPr>
              <w:ind w:right="40"/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 w:rsidRPr="00D1542D">
              <w:rPr>
                <w:rFonts w:ascii="Garamond" w:hAnsi="Garamond"/>
                <w:sz w:val="22"/>
                <w:szCs w:val="22"/>
                <w:lang w:val="en-GB"/>
              </w:rPr>
              <w:t>Special interests</w:t>
            </w:r>
          </w:p>
        </w:tc>
        <w:tc>
          <w:tcPr>
            <w:tcW w:w="6526" w:type="dxa"/>
          </w:tcPr>
          <w:p w:rsidR="004E46C8" w:rsidRPr="00CD537C" w:rsidRDefault="004E46C8" w:rsidP="00355A69">
            <w:pPr>
              <w:pStyle w:val="ListParagraph"/>
              <w:numPr>
                <w:ilvl w:val="0"/>
                <w:numId w:val="5"/>
              </w:numPr>
              <w:ind w:left="177" w:hanging="177"/>
              <w:rPr>
                <w:rFonts w:ascii="Garamond" w:hAnsi="Garamond"/>
                <w:sz w:val="22"/>
                <w:szCs w:val="22"/>
                <w:lang w:val="en-GB"/>
              </w:rPr>
            </w:pP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Identification and implementation of locally appropriate construction techniques, </w:t>
            </w:r>
          </w:p>
          <w:p w:rsidR="004E46C8" w:rsidRPr="00CD537C" w:rsidRDefault="004E46C8" w:rsidP="00355A69">
            <w:pPr>
              <w:pStyle w:val="ListParagraph"/>
              <w:numPr>
                <w:ilvl w:val="0"/>
                <w:numId w:val="5"/>
              </w:numPr>
              <w:ind w:left="177" w:hanging="177"/>
              <w:rPr>
                <w:rFonts w:ascii="Garamond" w:hAnsi="Garamond"/>
                <w:sz w:val="22"/>
                <w:szCs w:val="22"/>
                <w:lang w:val="en-GB"/>
              </w:rPr>
            </w:pP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Project design and management, </w:t>
            </w:r>
          </w:p>
          <w:p w:rsidR="004E46C8" w:rsidRPr="00CD537C" w:rsidRDefault="004E46C8" w:rsidP="00355A69">
            <w:pPr>
              <w:pStyle w:val="ListParagraph"/>
              <w:numPr>
                <w:ilvl w:val="0"/>
                <w:numId w:val="5"/>
              </w:numPr>
              <w:ind w:left="177" w:hanging="177"/>
              <w:rPr>
                <w:rFonts w:ascii="Garamond" w:hAnsi="Garamond"/>
                <w:sz w:val="22"/>
                <w:szCs w:val="22"/>
                <w:lang w:val="en-GB"/>
              </w:rPr>
            </w:pP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 xml:space="preserve">Low-tech disaster resilient construction, </w:t>
            </w:r>
          </w:p>
          <w:p w:rsidR="004E46C8" w:rsidRPr="00CD537C" w:rsidRDefault="004E46C8" w:rsidP="00355A69">
            <w:pPr>
              <w:pStyle w:val="ListParagraph"/>
              <w:numPr>
                <w:ilvl w:val="0"/>
                <w:numId w:val="5"/>
              </w:numPr>
              <w:ind w:left="177" w:hanging="142"/>
              <w:rPr>
                <w:rFonts w:ascii="Garamond" w:hAnsi="Garamond"/>
                <w:sz w:val="22"/>
                <w:szCs w:val="22"/>
                <w:lang w:val="en-GB"/>
              </w:rPr>
            </w:pPr>
            <w:r w:rsidRPr="00CD537C">
              <w:rPr>
                <w:rFonts w:ascii="Garamond" w:hAnsi="Garamond"/>
                <w:sz w:val="22"/>
                <w:szCs w:val="22"/>
                <w:lang w:val="en-GB"/>
              </w:rPr>
              <w:t>Vernacular architecture</w:t>
            </w:r>
          </w:p>
        </w:tc>
      </w:tr>
      <w:tr w:rsidR="00CD537C" w:rsidRPr="00A5630B" w:rsidTr="007A56CB">
        <w:tc>
          <w:tcPr>
            <w:tcW w:w="2972" w:type="dxa"/>
          </w:tcPr>
          <w:p w:rsidR="00CD537C" w:rsidRPr="00D1542D" w:rsidRDefault="00CD537C" w:rsidP="00956512">
            <w:pPr>
              <w:ind w:right="40"/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  <w:tc>
          <w:tcPr>
            <w:tcW w:w="6526" w:type="dxa"/>
          </w:tcPr>
          <w:p w:rsidR="00CD537C" w:rsidRPr="00CD537C" w:rsidRDefault="00CD537C">
            <w:pPr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D92D32" w:rsidRPr="00A5630B" w:rsidTr="007A56CB">
        <w:tc>
          <w:tcPr>
            <w:tcW w:w="2972" w:type="dxa"/>
          </w:tcPr>
          <w:p w:rsidR="00D92D32" w:rsidRPr="00D1542D" w:rsidRDefault="00D92D32" w:rsidP="00956512">
            <w:pPr>
              <w:ind w:right="40"/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  <w:tc>
          <w:tcPr>
            <w:tcW w:w="6526" w:type="dxa"/>
          </w:tcPr>
          <w:p w:rsidR="00D92D32" w:rsidRPr="00CD537C" w:rsidRDefault="00D92D32">
            <w:pPr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</w:tbl>
    <w:p w:rsidR="00956512" w:rsidRDefault="00956512"/>
    <w:sectPr w:rsidR="00956512" w:rsidSect="005212AB">
      <w:pgSz w:w="11901" w:h="16817"/>
      <w:pgMar w:top="1418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A1A5D"/>
    <w:multiLevelType w:val="hybridMultilevel"/>
    <w:tmpl w:val="47DC1BB2"/>
    <w:lvl w:ilvl="0" w:tplc="BBE48CCE">
      <w:start w:val="1997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30116"/>
    <w:multiLevelType w:val="hybridMultilevel"/>
    <w:tmpl w:val="D21AA83C"/>
    <w:lvl w:ilvl="0" w:tplc="873204C8">
      <w:start w:val="1997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81936"/>
    <w:multiLevelType w:val="hybridMultilevel"/>
    <w:tmpl w:val="B3847E3A"/>
    <w:lvl w:ilvl="0" w:tplc="873204C8">
      <w:start w:val="1997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919F6"/>
    <w:multiLevelType w:val="hybridMultilevel"/>
    <w:tmpl w:val="688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1600E"/>
    <w:multiLevelType w:val="hybridMultilevel"/>
    <w:tmpl w:val="947497EA"/>
    <w:lvl w:ilvl="0" w:tplc="873204C8">
      <w:start w:val="1997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12"/>
    <w:rsid w:val="00091635"/>
    <w:rsid w:val="001C36BA"/>
    <w:rsid w:val="001C3E80"/>
    <w:rsid w:val="00437FC5"/>
    <w:rsid w:val="004A3403"/>
    <w:rsid w:val="004E46C8"/>
    <w:rsid w:val="005212AB"/>
    <w:rsid w:val="00645DCA"/>
    <w:rsid w:val="00684EEB"/>
    <w:rsid w:val="006F5437"/>
    <w:rsid w:val="00744089"/>
    <w:rsid w:val="00780050"/>
    <w:rsid w:val="007A56CB"/>
    <w:rsid w:val="008D16AA"/>
    <w:rsid w:val="00956512"/>
    <w:rsid w:val="00A5630B"/>
    <w:rsid w:val="00AB2E27"/>
    <w:rsid w:val="00AF0371"/>
    <w:rsid w:val="00B74E16"/>
    <w:rsid w:val="00C87236"/>
    <w:rsid w:val="00C9158C"/>
    <w:rsid w:val="00C94DD8"/>
    <w:rsid w:val="00CD537C"/>
    <w:rsid w:val="00D1542D"/>
    <w:rsid w:val="00D76021"/>
    <w:rsid w:val="00D92D32"/>
    <w:rsid w:val="00E9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6B1B0"/>
  <w15:chartTrackingRefBased/>
  <w15:docId w15:val="{CEB001C4-1E3A-5549-95E1-83EFCBF9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3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Schacher</dc:creator>
  <cp:keywords/>
  <dc:description/>
  <cp:lastModifiedBy>Tom Schacher</cp:lastModifiedBy>
  <cp:revision>2</cp:revision>
  <cp:lastPrinted>2021-04-07T17:24:00Z</cp:lastPrinted>
  <dcterms:created xsi:type="dcterms:W3CDTF">2021-04-13T15:30:00Z</dcterms:created>
  <dcterms:modified xsi:type="dcterms:W3CDTF">2021-04-13T15:30:00Z</dcterms:modified>
</cp:coreProperties>
</file>